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B0A3C5">
      <w:pPr>
        <w:spacing w:line="249" w:lineRule="auto"/>
        <w:rPr>
          <w:rFonts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附件1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-</w:t>
      </w:r>
      <w:bookmarkStart w:id="5" w:name="_GoBack"/>
      <w:bookmarkEnd w:id="5"/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2</w:t>
      </w:r>
    </w:p>
    <w:p w14:paraId="11B6372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55" w:line="560" w:lineRule="exact"/>
        <w:jc w:val="center"/>
        <w:textAlignment w:val="baseline"/>
        <w:outlineLvl w:val="2"/>
        <w:rPr>
          <w:rFonts w:hint="eastAsia" w:ascii="仿宋_GB2312" w:hAnsi="仿宋_GB2312" w:eastAsia="仿宋_GB2312" w:cs="仿宋_GB2312"/>
          <w:b/>
          <w:bCs/>
          <w:spacing w:val="-8"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-8"/>
          <w:sz w:val="44"/>
          <w:szCs w:val="44"/>
          <w:lang w:eastAsia="zh-CN"/>
        </w:rPr>
        <w:t>202</w:t>
      </w:r>
      <w:r>
        <w:rPr>
          <w:rFonts w:hint="eastAsia" w:ascii="仿宋_GB2312" w:hAnsi="仿宋_GB2312" w:eastAsia="仿宋_GB2312" w:cs="仿宋_GB2312"/>
          <w:b/>
          <w:bCs/>
          <w:spacing w:val="-8"/>
          <w:sz w:val="44"/>
          <w:szCs w:val="44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/>
          <w:bCs/>
          <w:spacing w:val="-8"/>
          <w:sz w:val="44"/>
          <w:szCs w:val="44"/>
          <w:lang w:eastAsia="zh-CN"/>
        </w:rPr>
        <w:t>年校级</w:t>
      </w:r>
      <w:r>
        <w:rPr>
          <w:rFonts w:hint="eastAsia" w:ascii="仿宋_GB2312" w:hAnsi="仿宋_GB2312" w:eastAsia="仿宋_GB2312" w:cs="仿宋_GB2312"/>
          <w:b/>
          <w:bCs/>
          <w:spacing w:val="-8"/>
          <w:sz w:val="44"/>
          <w:szCs w:val="44"/>
          <w:lang w:val="en-US" w:eastAsia="zh-CN"/>
        </w:rPr>
        <w:t>教学研究与改革专项课题</w:t>
      </w:r>
    </w:p>
    <w:p w14:paraId="65596FA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55" w:line="560" w:lineRule="exact"/>
        <w:jc w:val="center"/>
        <w:textAlignment w:val="baseline"/>
        <w:outlineLvl w:val="2"/>
        <w:rPr>
          <w:rFonts w:hint="eastAsia" w:ascii="仿宋_GB2312" w:hAnsi="仿宋_GB2312" w:eastAsia="仿宋_GB2312" w:cs="仿宋_GB2312"/>
          <w:b/>
          <w:bCs/>
          <w:spacing w:val="-8"/>
          <w:sz w:val="44"/>
          <w:szCs w:val="44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-8"/>
          <w:sz w:val="44"/>
          <w:szCs w:val="44"/>
          <w:lang w:eastAsia="zh-CN"/>
        </w:rPr>
        <w:t>申报指南</w:t>
      </w:r>
    </w:p>
    <w:p w14:paraId="27821A7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55" w:line="560" w:lineRule="exact"/>
        <w:jc w:val="center"/>
        <w:textAlignment w:val="baseline"/>
        <w:outlineLvl w:val="2"/>
        <w:rPr>
          <w:rFonts w:hint="eastAsia" w:ascii="仿宋_GB2312" w:hAnsi="仿宋_GB2312" w:eastAsia="仿宋_GB2312" w:cs="仿宋_GB2312"/>
          <w:b/>
          <w:bCs/>
          <w:spacing w:val="-8"/>
          <w:sz w:val="44"/>
          <w:szCs w:val="44"/>
          <w:lang w:eastAsia="zh-CN"/>
        </w:rPr>
      </w:pPr>
    </w:p>
    <w:p w14:paraId="0B2E43B9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/>
          <w:b/>
          <w:bCs/>
          <w:highlight w:val="none"/>
          <w:lang w:val="en-US" w:eastAsia="zh-CN"/>
        </w:rPr>
      </w:pPr>
      <w:bookmarkStart w:id="0" w:name="OLE_LINK4"/>
      <w:r>
        <w:rPr>
          <w:rFonts w:hint="eastAsia"/>
          <w:b/>
          <w:bCs/>
          <w:highlight w:val="none"/>
          <w:lang w:val="en-US" w:eastAsia="zh-CN"/>
        </w:rPr>
        <w:t>1.拔尖人才培养专项</w:t>
      </w:r>
    </w:p>
    <w:bookmarkEnd w:id="0"/>
    <w:p w14:paraId="49FC4FD8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Chars="0"/>
        <w:textAlignment w:val="baseline"/>
        <w:rPr>
          <w:rFonts w:hint="default" w:ascii="仿宋_GB2312" w:hAnsi="仿宋_GB2312" w:eastAsia="仿宋_GB2312" w:cs="仿宋_GB2312"/>
          <w:spacing w:val="-4"/>
          <w:sz w:val="28"/>
          <w:szCs w:val="28"/>
          <w:lang w:val="en-US" w:eastAsia="zh-CN"/>
        </w:rPr>
      </w:pPr>
      <w:bookmarkStart w:id="1" w:name="OLE_LINK1"/>
      <w:r>
        <w:rPr>
          <w:rFonts w:hint="eastAsia" w:ascii="仿宋_GB2312" w:hAnsi="仿宋_GB2312" w:eastAsia="仿宋_GB2312" w:cs="仿宋_GB2312"/>
          <w:spacing w:val="-4"/>
          <w:sz w:val="28"/>
          <w:szCs w:val="28"/>
          <w:lang w:val="en-US" w:eastAsia="zh-CN"/>
        </w:rPr>
        <w:t>1-1  面向新质生产力的拔尖创新人才培养模式改革研究与实践</w:t>
      </w:r>
    </w:p>
    <w:bookmarkEnd w:id="1"/>
    <w:p w14:paraId="26C447FC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Chars="0"/>
        <w:textAlignment w:val="baseline"/>
        <w:rPr>
          <w:rFonts w:hint="eastAsia" w:ascii="仿宋_GB2312" w:hAnsi="仿宋_GB2312" w:eastAsia="仿宋_GB2312" w:cs="仿宋_GB2312"/>
          <w:spacing w:val="-4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4"/>
          <w:sz w:val="28"/>
          <w:szCs w:val="28"/>
          <w:lang w:val="en-US" w:eastAsia="zh-CN"/>
        </w:rPr>
        <w:t>1-2  “课程-平台-项目”三位一体拔尖创新人才培养体系构建与实现路径研究</w:t>
      </w:r>
    </w:p>
    <w:p w14:paraId="3954E1A3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Chars="0"/>
        <w:textAlignment w:val="baseline"/>
        <w:rPr>
          <w:rFonts w:hint="eastAsia" w:ascii="仿宋_GB2312" w:hAnsi="仿宋_GB2312" w:eastAsia="仿宋_GB2312" w:cs="仿宋_GB2312"/>
          <w:spacing w:val="-4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4"/>
          <w:sz w:val="28"/>
          <w:szCs w:val="28"/>
          <w:lang w:val="en-US" w:eastAsia="zh-CN"/>
        </w:rPr>
        <w:t>1-3  拔尖创新人才培养的协同育人机制与多元评价体系研究</w:t>
      </w:r>
    </w:p>
    <w:p w14:paraId="265DD6EE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Chars="0"/>
        <w:textAlignment w:val="baseline"/>
        <w:rPr>
          <w:rFonts w:hint="default" w:ascii="仿宋_GB2312" w:hAnsi="仿宋_GB2312" w:eastAsia="仿宋_GB2312" w:cs="仿宋_GB2312"/>
          <w:spacing w:val="-4"/>
          <w:sz w:val="28"/>
          <w:szCs w:val="28"/>
          <w:lang w:val="en-US" w:eastAsia="zh-CN"/>
        </w:rPr>
      </w:pPr>
      <w:bookmarkStart w:id="2" w:name="OLE_LINK2"/>
      <w:r>
        <w:rPr>
          <w:rFonts w:hint="eastAsia" w:ascii="仿宋_GB2312" w:hAnsi="仿宋_GB2312" w:eastAsia="仿宋_GB2312" w:cs="仿宋_GB2312"/>
          <w:spacing w:val="-4"/>
          <w:sz w:val="28"/>
          <w:szCs w:val="28"/>
          <w:lang w:val="en-US" w:eastAsia="zh-CN"/>
        </w:rPr>
        <w:t>1-4  拔尖创新人才</w:t>
      </w:r>
      <w:bookmarkEnd w:id="2"/>
      <w:r>
        <w:rPr>
          <w:rFonts w:hint="eastAsia" w:ascii="仿宋_GB2312" w:hAnsi="仿宋_GB2312" w:eastAsia="仿宋_GB2312" w:cs="仿宋_GB2312"/>
          <w:spacing w:val="-4"/>
          <w:sz w:val="28"/>
          <w:szCs w:val="28"/>
          <w:lang w:val="en-US" w:eastAsia="zh-CN"/>
        </w:rPr>
        <w:t>与国际化人才培养</w:t>
      </w:r>
    </w:p>
    <w:p w14:paraId="3C273180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Chars="0"/>
        <w:textAlignment w:val="baseline"/>
        <w:rPr>
          <w:rFonts w:hint="default" w:ascii="仿宋_GB2312" w:hAnsi="仿宋_GB2312" w:eastAsia="仿宋_GB2312" w:cs="仿宋_GB2312"/>
          <w:spacing w:val="-4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4"/>
          <w:sz w:val="28"/>
          <w:szCs w:val="28"/>
          <w:lang w:val="en-US" w:eastAsia="zh-CN"/>
        </w:rPr>
        <w:t xml:space="preserve">1-5  </w:t>
      </w:r>
      <w:r>
        <w:rPr>
          <w:rFonts w:hint="eastAsia" w:ascii="仿宋_GB2312" w:hAnsi="仿宋_GB2312" w:eastAsia="仿宋_GB2312" w:cs="仿宋_GB2312"/>
          <w:spacing w:val="-4"/>
          <w:sz w:val="28"/>
          <w:szCs w:val="28"/>
          <w:highlight w:val="none"/>
          <w:lang w:val="en-US" w:eastAsia="zh-CN"/>
        </w:rPr>
        <w:t>基于本博贯通的拔尖人才培养</w:t>
      </w:r>
      <w:r>
        <w:rPr>
          <w:rFonts w:hint="default" w:ascii="仿宋_GB2312" w:hAnsi="仿宋_GB2312" w:eastAsia="仿宋_GB2312" w:cs="仿宋_GB2312"/>
          <w:spacing w:val="-4"/>
          <w:sz w:val="28"/>
          <w:szCs w:val="28"/>
          <w:highlight w:val="none"/>
          <w:lang w:val="en-US" w:eastAsia="zh-CN"/>
        </w:rPr>
        <w:t>体系研究</w:t>
      </w:r>
    </w:p>
    <w:p w14:paraId="0B965649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Chars="0"/>
        <w:textAlignment w:val="baseline"/>
        <w:rPr>
          <w:rFonts w:hint="default" w:ascii="仿宋_GB2312" w:hAnsi="仿宋_GB2312" w:eastAsia="仿宋_GB2312" w:cs="仿宋_GB2312"/>
          <w:spacing w:val="-4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4"/>
          <w:sz w:val="28"/>
          <w:szCs w:val="28"/>
          <w:lang w:val="en-US" w:eastAsia="zh-CN"/>
        </w:rPr>
        <w:t xml:space="preserve">1-6  </w:t>
      </w:r>
      <w:r>
        <w:rPr>
          <w:rFonts w:hint="default" w:ascii="仿宋_GB2312" w:hAnsi="仿宋_GB2312" w:eastAsia="仿宋_GB2312" w:cs="仿宋_GB2312"/>
          <w:spacing w:val="-4"/>
          <w:sz w:val="28"/>
          <w:szCs w:val="28"/>
          <w:lang w:val="en-US" w:eastAsia="zh-CN"/>
        </w:rPr>
        <w:t>能源领域拔尖创新人才选拔、培养与评价改革</w:t>
      </w:r>
    </w:p>
    <w:p w14:paraId="773161F8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Chars="0"/>
        <w:textAlignment w:val="baseline"/>
        <w:rPr>
          <w:rFonts w:hint="eastAsia" w:ascii="仿宋_GB2312" w:hAnsi="仿宋_GB2312" w:eastAsia="仿宋_GB2312" w:cs="仿宋_GB2312"/>
          <w:spacing w:val="-4"/>
          <w:sz w:val="28"/>
          <w:szCs w:val="28"/>
          <w:lang w:val="en-US" w:eastAsia="zh-CN"/>
        </w:rPr>
      </w:pPr>
      <w:bookmarkStart w:id="3" w:name="OLE_LINK3"/>
      <w:r>
        <w:rPr>
          <w:rFonts w:hint="eastAsia" w:ascii="仿宋_GB2312" w:hAnsi="仿宋_GB2312" w:eastAsia="仿宋_GB2312" w:cs="仿宋_GB2312"/>
          <w:spacing w:val="-4"/>
          <w:sz w:val="28"/>
          <w:szCs w:val="28"/>
          <w:lang w:val="en-US" w:eastAsia="zh-CN"/>
        </w:rPr>
        <w:t>1-7  基础学科</w:t>
      </w:r>
      <w:r>
        <w:rPr>
          <w:rFonts w:hint="default" w:ascii="仿宋_GB2312" w:hAnsi="仿宋_GB2312" w:eastAsia="仿宋_GB2312" w:cs="仿宋_GB2312"/>
          <w:spacing w:val="-4"/>
          <w:sz w:val="28"/>
          <w:szCs w:val="28"/>
          <w:lang w:val="en-US" w:eastAsia="zh-CN"/>
        </w:rPr>
        <w:t>拔尖创新人才</w:t>
      </w:r>
      <w:r>
        <w:rPr>
          <w:rFonts w:hint="eastAsia" w:ascii="仿宋_GB2312" w:hAnsi="仿宋_GB2312" w:eastAsia="仿宋_GB2312" w:cs="仿宋_GB2312"/>
          <w:spacing w:val="-4"/>
          <w:sz w:val="28"/>
          <w:szCs w:val="28"/>
          <w:lang w:val="en-US" w:eastAsia="zh-CN"/>
        </w:rPr>
        <w:t>培养机制与路径研究</w:t>
      </w:r>
    </w:p>
    <w:bookmarkEnd w:id="3"/>
    <w:p w14:paraId="7CDC8FF3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Chars="0"/>
        <w:textAlignment w:val="baseline"/>
        <w:rPr>
          <w:rFonts w:hint="eastAsia" w:ascii="仿宋_GB2312" w:hAnsi="仿宋_GB2312" w:eastAsia="仿宋_GB2312" w:cs="仿宋_GB2312"/>
          <w:spacing w:val="-4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4"/>
          <w:sz w:val="28"/>
          <w:szCs w:val="28"/>
          <w:lang w:val="en-US" w:eastAsia="zh-CN"/>
        </w:rPr>
        <w:t>1-8  特色学科</w:t>
      </w:r>
      <w:r>
        <w:rPr>
          <w:rFonts w:hint="default" w:ascii="仿宋_GB2312" w:hAnsi="仿宋_GB2312" w:eastAsia="仿宋_GB2312" w:cs="仿宋_GB2312"/>
          <w:spacing w:val="-4"/>
          <w:sz w:val="28"/>
          <w:szCs w:val="28"/>
          <w:lang w:val="en-US" w:eastAsia="zh-CN"/>
        </w:rPr>
        <w:t>拔尖创新人才</w:t>
      </w:r>
      <w:r>
        <w:rPr>
          <w:rFonts w:hint="eastAsia" w:ascii="仿宋_GB2312" w:hAnsi="仿宋_GB2312" w:eastAsia="仿宋_GB2312" w:cs="仿宋_GB2312"/>
          <w:spacing w:val="-4"/>
          <w:sz w:val="28"/>
          <w:szCs w:val="28"/>
          <w:lang w:val="en-US" w:eastAsia="zh-CN"/>
        </w:rPr>
        <w:t>培养机制与路径研究</w:t>
      </w:r>
    </w:p>
    <w:p w14:paraId="2DEBF49F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Chars="0"/>
        <w:textAlignment w:val="baseline"/>
        <w:rPr>
          <w:rFonts w:hint="default" w:ascii="仿宋_GB2312" w:hAnsi="仿宋_GB2312" w:eastAsia="仿宋_GB2312" w:cs="仿宋_GB2312"/>
          <w:spacing w:val="-4"/>
          <w:sz w:val="28"/>
          <w:szCs w:val="28"/>
          <w:lang w:val="en-US" w:eastAsia="zh-CN"/>
        </w:rPr>
      </w:pPr>
    </w:p>
    <w:p w14:paraId="16531353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/>
          <w:b/>
          <w:bCs/>
          <w:highlight w:val="none"/>
          <w:lang w:val="en-US" w:eastAsia="zh-CN"/>
        </w:rPr>
      </w:pPr>
      <w:bookmarkStart w:id="4" w:name="OLE_LINK5"/>
      <w:r>
        <w:rPr>
          <w:rFonts w:hint="eastAsia"/>
          <w:b/>
          <w:bCs/>
          <w:highlight w:val="none"/>
          <w:lang w:val="en-US" w:eastAsia="zh-CN"/>
        </w:rPr>
        <w:t>2.人工智能赋能专项</w:t>
      </w:r>
    </w:p>
    <w:bookmarkEnd w:id="4"/>
    <w:p w14:paraId="3695C480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Chars="0"/>
        <w:textAlignment w:val="baseline"/>
        <w:rPr>
          <w:rFonts w:hint="eastAsia" w:ascii="仿宋_GB2312" w:hAnsi="仿宋_GB2312" w:eastAsia="仿宋_GB2312" w:cs="仿宋_GB2312"/>
          <w:spacing w:val="-4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4"/>
          <w:sz w:val="28"/>
          <w:szCs w:val="28"/>
          <w:lang w:val="en-US" w:eastAsia="zh-CN"/>
        </w:rPr>
        <w:t>2-1  人工智能通识教育课程教学改革与研究</w:t>
      </w:r>
    </w:p>
    <w:p w14:paraId="53C5DAE3">
      <w:pPr>
        <w:pStyle w:val="2"/>
        <w:spacing w:line="360" w:lineRule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-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2  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智慧教育时代教学模式改革的理论与实践研究</w:t>
      </w:r>
    </w:p>
    <w:p w14:paraId="1651DACF">
      <w:pPr>
        <w:pStyle w:val="2"/>
        <w:spacing w:line="360" w:lineRule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-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3 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智慧教育时代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教学内容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重构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与教学方法改革研究</w:t>
      </w:r>
    </w:p>
    <w:p w14:paraId="19929528">
      <w:pPr>
        <w:pStyle w:val="2"/>
        <w:spacing w:line="360" w:lineRule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-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 xml:space="preserve">  数字化优质教学资源共建共享与协同创新的研究与实践</w:t>
      </w:r>
    </w:p>
    <w:p w14:paraId="54A0F32E">
      <w:pPr>
        <w:pStyle w:val="2"/>
        <w:spacing w:line="360" w:lineRule="auto"/>
        <w:rPr>
          <w:rFonts w:hint="eastAsia" w:ascii="仿宋_GB2312" w:hAnsi="仿宋_GB2312" w:eastAsia="仿宋_GB2312" w:cs="仿宋_GB2312"/>
          <w:spacing w:val="1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"/>
          <w:sz w:val="28"/>
          <w:szCs w:val="28"/>
          <w:lang w:val="en-US" w:eastAsia="zh-CN"/>
        </w:rPr>
        <w:t xml:space="preserve">2-5 </w:t>
      </w:r>
      <w:r>
        <w:rPr>
          <w:rFonts w:hint="eastAsia" w:ascii="仿宋_GB2312" w:hAnsi="仿宋_GB2312" w:eastAsia="仿宋_GB2312" w:cs="仿宋_GB2312"/>
          <w:spacing w:val="1"/>
          <w:sz w:val="28"/>
          <w:szCs w:val="28"/>
          <w:highlight w:val="none"/>
          <w:lang w:val="en-US" w:eastAsia="zh-CN"/>
        </w:rPr>
        <w:t xml:space="preserve"> 数字化教材的</w:t>
      </w:r>
      <w:r>
        <w:rPr>
          <w:rFonts w:hint="eastAsia" w:ascii="仿宋_GB2312" w:hAnsi="仿宋_GB2312" w:eastAsia="仿宋_GB2312" w:cs="仿宋_GB2312"/>
          <w:spacing w:val="1"/>
          <w:sz w:val="28"/>
          <w:szCs w:val="28"/>
          <w:lang w:val="en-US" w:eastAsia="zh-CN"/>
        </w:rPr>
        <w:t>建设和应用模式研究</w:t>
      </w:r>
    </w:p>
    <w:p w14:paraId="51513F1D">
      <w:pPr>
        <w:pStyle w:val="2"/>
        <w:numPr>
          <w:ilvl w:val="0"/>
          <w:numId w:val="0"/>
        </w:numPr>
        <w:spacing w:line="360" w:lineRule="auto"/>
        <w:ind w:leftChars="0"/>
        <w:rPr>
          <w:rFonts w:hint="eastAsia" w:ascii="仿宋_GB2312" w:hAnsi="仿宋_GB2312" w:eastAsia="仿宋_GB2312" w:cs="仿宋_GB2312"/>
          <w:spacing w:val="-4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4"/>
          <w:sz w:val="28"/>
          <w:szCs w:val="28"/>
          <w:lang w:val="en-US" w:eastAsia="zh-CN"/>
        </w:rPr>
        <w:t>2-6  人工智能背景下实践教学模式的改革与实践研究</w:t>
      </w:r>
    </w:p>
    <w:p w14:paraId="5A8C0997">
      <w:pPr>
        <w:pStyle w:val="2"/>
        <w:numPr>
          <w:ilvl w:val="0"/>
          <w:numId w:val="0"/>
        </w:numPr>
        <w:spacing w:line="360" w:lineRule="auto"/>
        <w:ind w:leftChars="0"/>
        <w:rPr>
          <w:rFonts w:hint="eastAsia" w:ascii="仿宋_GB2312" w:hAnsi="仿宋_GB2312" w:eastAsia="仿宋_GB2312" w:cs="仿宋_GB2312"/>
          <w:spacing w:val="-4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4"/>
          <w:sz w:val="28"/>
          <w:szCs w:val="28"/>
          <w:lang w:val="en-US" w:eastAsia="zh-CN"/>
        </w:rPr>
        <w:t>2-7  人工智能赋能专业建设的理论与实践研究</w:t>
      </w:r>
    </w:p>
    <w:p w14:paraId="7599F59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仿宋_GB2312" w:hAnsi="仿宋_GB2312" w:eastAsia="仿宋_GB2312" w:cs="仿宋_GB2312"/>
          <w:spacing w:val="-4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"/>
          <w:sz w:val="28"/>
          <w:szCs w:val="28"/>
          <w:lang w:val="en-US" w:eastAsia="zh-CN"/>
        </w:rPr>
        <w:t>2-8  人工智能赋能能源领域教育教学的应用与效果评估研究</w:t>
      </w:r>
    </w:p>
    <w:p w14:paraId="434D4D7F">
      <w:pPr>
        <w:pStyle w:val="2"/>
        <w:numPr>
          <w:ilvl w:val="0"/>
          <w:numId w:val="0"/>
        </w:numPr>
        <w:spacing w:line="360" w:lineRule="auto"/>
        <w:ind w:leftChars="0"/>
        <w:rPr>
          <w:rFonts w:hint="eastAsia" w:ascii="仿宋_GB2312" w:hAnsi="仿宋_GB2312" w:eastAsia="仿宋_GB2312" w:cs="仿宋_GB2312"/>
          <w:spacing w:val="-4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pacing w:val="-4"/>
          <w:sz w:val="28"/>
          <w:szCs w:val="28"/>
          <w:lang w:val="en-US" w:eastAsia="zh-CN"/>
        </w:rPr>
        <w:t>2-9  人工智能赋能</w:t>
      </w:r>
      <w:r>
        <w:rPr>
          <w:rFonts w:hint="eastAsia" w:ascii="仿宋_GB2312" w:hAnsi="仿宋_GB2312" w:eastAsia="仿宋_GB2312" w:cs="仿宋_GB2312"/>
          <w:spacing w:val="-4"/>
          <w:sz w:val="28"/>
          <w:szCs w:val="28"/>
          <w:lang w:eastAsia="zh-CN"/>
        </w:rPr>
        <w:t>拔尖创新人才培养模式的研究与实践</w:t>
      </w:r>
    </w:p>
    <w:p w14:paraId="32555BF9">
      <w:pPr>
        <w:pStyle w:val="2"/>
        <w:spacing w:line="360" w:lineRule="auto"/>
        <w:rPr>
          <w:rFonts w:hint="eastAsia" w:ascii="仿宋_GB2312" w:hAnsi="仿宋_GB2312" w:eastAsia="仿宋_GB2312" w:cs="仿宋_GB2312"/>
          <w:spacing w:val="-4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4"/>
          <w:sz w:val="28"/>
          <w:szCs w:val="28"/>
          <w:lang w:val="en-US" w:eastAsia="zh-CN"/>
        </w:rPr>
        <w:t xml:space="preserve">2-10 </w:t>
      </w:r>
      <w:r>
        <w:rPr>
          <w:rFonts w:hint="eastAsia" w:ascii="仿宋_GB2312" w:hAnsi="仿宋_GB2312" w:eastAsia="仿宋_GB2312" w:cs="仿宋_GB2312"/>
          <w:spacing w:val="-4"/>
          <w:sz w:val="28"/>
          <w:szCs w:val="28"/>
          <w:lang w:eastAsia="zh-CN"/>
        </w:rPr>
        <w:t>数字化转型背景下的高校人才培养模式研究与</w:t>
      </w:r>
      <w:r>
        <w:rPr>
          <w:rFonts w:hint="eastAsia" w:ascii="仿宋_GB2312" w:hAnsi="仿宋_GB2312" w:eastAsia="仿宋_GB2312" w:cs="仿宋_GB2312"/>
          <w:spacing w:val="-4"/>
          <w:sz w:val="28"/>
          <w:szCs w:val="28"/>
          <w:lang w:val="en-US" w:eastAsia="zh-CN"/>
        </w:rPr>
        <w:t>改革</w:t>
      </w:r>
    </w:p>
    <w:p w14:paraId="1F9D8495">
      <w:pPr>
        <w:pStyle w:val="2"/>
        <w:spacing w:line="360" w:lineRule="auto"/>
        <w:rPr>
          <w:rFonts w:hint="eastAsia" w:ascii="仿宋_GB2312" w:hAnsi="仿宋_GB2312" w:eastAsia="仿宋_GB2312" w:cs="仿宋_GB2312"/>
          <w:spacing w:val="1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pacing w:val="1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pacing w:val="1"/>
          <w:sz w:val="28"/>
          <w:szCs w:val="28"/>
          <w:lang w:eastAsia="zh-CN"/>
        </w:rPr>
        <w:t>-</w:t>
      </w:r>
      <w:r>
        <w:rPr>
          <w:rFonts w:hint="eastAsia" w:ascii="仿宋_GB2312" w:hAnsi="仿宋_GB2312" w:eastAsia="仿宋_GB2312" w:cs="仿宋_GB2312"/>
          <w:spacing w:val="1"/>
          <w:sz w:val="28"/>
          <w:szCs w:val="28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pacing w:val="1"/>
          <w:sz w:val="28"/>
          <w:szCs w:val="28"/>
          <w:lang w:eastAsia="zh-CN"/>
        </w:rPr>
        <w:t xml:space="preserve"> </w:t>
      </w:r>
      <w:r>
        <w:rPr>
          <w:rFonts w:hint="eastAsia" w:ascii="仿宋_GB2312" w:hAnsi="仿宋_GB2312" w:eastAsia="仿宋_GB2312" w:cs="仿宋_GB2312"/>
          <w:spacing w:val="1"/>
          <w:sz w:val="28"/>
          <w:szCs w:val="28"/>
          <w:lang w:val="en-US" w:eastAsia="zh-CN"/>
        </w:rPr>
        <w:t>高校</w:t>
      </w:r>
      <w:r>
        <w:rPr>
          <w:rFonts w:hint="eastAsia" w:ascii="仿宋_GB2312" w:hAnsi="仿宋_GB2312" w:eastAsia="仿宋_GB2312" w:cs="仿宋_GB2312"/>
          <w:spacing w:val="1"/>
          <w:sz w:val="28"/>
          <w:szCs w:val="28"/>
          <w:lang w:eastAsia="zh-CN"/>
        </w:rPr>
        <w:t>人工智能教育应用场景案例</w:t>
      </w:r>
    </w:p>
    <w:p w14:paraId="4B10DB74">
      <w:pPr>
        <w:pStyle w:val="2"/>
        <w:spacing w:line="360" w:lineRule="auto"/>
        <w:rPr>
          <w:rFonts w:hint="eastAsia" w:ascii="仿宋_GB2312" w:hAnsi="仿宋_GB2312" w:eastAsia="仿宋_GB2312" w:cs="仿宋_GB2312"/>
          <w:spacing w:val="1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pacing w:val="1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pacing w:val="1"/>
          <w:sz w:val="28"/>
          <w:szCs w:val="28"/>
          <w:lang w:eastAsia="zh-CN"/>
        </w:rPr>
        <w:t>-</w:t>
      </w:r>
      <w:r>
        <w:rPr>
          <w:rFonts w:hint="eastAsia" w:ascii="仿宋_GB2312" w:hAnsi="仿宋_GB2312" w:eastAsia="仿宋_GB2312" w:cs="仿宋_GB2312"/>
          <w:spacing w:val="1"/>
          <w:sz w:val="28"/>
          <w:szCs w:val="28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pacing w:val="1"/>
          <w:sz w:val="28"/>
          <w:szCs w:val="28"/>
          <w:lang w:eastAsia="zh-CN"/>
        </w:rPr>
        <w:t xml:space="preserve"> 基于人工智能转型的教学管理改革与实践研究</w:t>
      </w:r>
    </w:p>
    <w:p w14:paraId="0F97D7C0">
      <w:pPr>
        <w:pStyle w:val="2"/>
        <w:spacing w:line="360" w:lineRule="auto"/>
        <w:rPr>
          <w:rFonts w:hint="eastAsia" w:ascii="仿宋_GB2312" w:hAnsi="仿宋_GB2312" w:eastAsia="仿宋_GB2312" w:cs="仿宋_GB2312"/>
          <w:spacing w:val="1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pacing w:val="1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pacing w:val="1"/>
          <w:sz w:val="28"/>
          <w:szCs w:val="28"/>
          <w:lang w:eastAsia="zh-CN"/>
        </w:rPr>
        <w:t>-</w:t>
      </w:r>
      <w:r>
        <w:rPr>
          <w:rFonts w:hint="eastAsia" w:ascii="仿宋_GB2312" w:hAnsi="仿宋_GB2312" w:eastAsia="仿宋_GB2312" w:cs="仿宋_GB2312"/>
          <w:spacing w:val="1"/>
          <w:sz w:val="28"/>
          <w:szCs w:val="28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spacing w:val="1"/>
          <w:sz w:val="28"/>
          <w:szCs w:val="28"/>
          <w:lang w:eastAsia="zh-CN"/>
        </w:rPr>
        <w:t xml:space="preserve"> 人工智能大模型的建设与应用研究</w:t>
      </w:r>
    </w:p>
    <w:p w14:paraId="54CC090E">
      <w:pPr>
        <w:pStyle w:val="2"/>
        <w:spacing w:line="360" w:lineRule="auto"/>
        <w:rPr>
          <w:rFonts w:hint="eastAsia" w:ascii="仿宋_GB2312" w:hAnsi="仿宋_GB2312" w:eastAsia="仿宋_GB2312" w:cs="仿宋_GB2312"/>
          <w:spacing w:val="1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pacing w:val="1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pacing w:val="1"/>
          <w:sz w:val="28"/>
          <w:szCs w:val="28"/>
          <w:lang w:eastAsia="zh-CN"/>
        </w:rPr>
        <w:t>-</w:t>
      </w:r>
      <w:r>
        <w:rPr>
          <w:rFonts w:hint="eastAsia" w:ascii="仿宋_GB2312" w:hAnsi="仿宋_GB2312" w:eastAsia="仿宋_GB2312" w:cs="仿宋_GB2312"/>
          <w:spacing w:val="1"/>
          <w:sz w:val="28"/>
          <w:szCs w:val="28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spacing w:val="1"/>
          <w:sz w:val="28"/>
          <w:szCs w:val="28"/>
          <w:lang w:eastAsia="zh-CN"/>
        </w:rPr>
        <w:t xml:space="preserve"> 人工智能转型的管理制度和机制研究</w:t>
      </w:r>
    </w:p>
    <w:p w14:paraId="418CB52C">
      <w:pPr>
        <w:pStyle w:val="2"/>
        <w:spacing w:line="360" w:lineRule="auto"/>
        <w:rPr>
          <w:rFonts w:hint="eastAsia" w:ascii="仿宋_GB2312" w:hAnsi="仿宋_GB2312" w:eastAsia="仿宋_GB2312" w:cs="仿宋_GB2312"/>
          <w:spacing w:val="1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pacing w:val="1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pacing w:val="1"/>
          <w:sz w:val="28"/>
          <w:szCs w:val="28"/>
          <w:lang w:eastAsia="zh-CN"/>
        </w:rPr>
        <w:t>-</w:t>
      </w:r>
      <w:r>
        <w:rPr>
          <w:rFonts w:hint="eastAsia" w:ascii="仿宋_GB2312" w:hAnsi="仿宋_GB2312" w:eastAsia="仿宋_GB2312" w:cs="仿宋_GB2312"/>
          <w:spacing w:val="1"/>
          <w:sz w:val="28"/>
          <w:szCs w:val="28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pacing w:val="1"/>
          <w:sz w:val="28"/>
          <w:szCs w:val="28"/>
          <w:lang w:eastAsia="zh-CN"/>
        </w:rPr>
        <w:t xml:space="preserve"> 智慧校园建设的实践与成效</w:t>
      </w:r>
    </w:p>
    <w:p w14:paraId="7E40DC18">
      <w:pPr>
        <w:pStyle w:val="2"/>
        <w:spacing w:line="360" w:lineRule="auto"/>
        <w:rPr>
          <w:rFonts w:hint="eastAsia" w:ascii="仿宋_GB2312" w:hAnsi="仿宋_GB2312" w:eastAsia="仿宋_GB2312" w:cs="仿宋_GB2312"/>
          <w:spacing w:val="1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pacing w:val="1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pacing w:val="1"/>
          <w:sz w:val="28"/>
          <w:szCs w:val="28"/>
          <w:lang w:eastAsia="zh-CN"/>
        </w:rPr>
        <w:t>-</w:t>
      </w:r>
      <w:r>
        <w:rPr>
          <w:rFonts w:hint="eastAsia" w:ascii="仿宋_GB2312" w:hAnsi="仿宋_GB2312" w:eastAsia="仿宋_GB2312" w:cs="仿宋_GB2312"/>
          <w:spacing w:val="1"/>
          <w:sz w:val="28"/>
          <w:szCs w:val="28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pacing w:val="1"/>
          <w:sz w:val="28"/>
          <w:szCs w:val="28"/>
          <w:lang w:eastAsia="zh-CN"/>
        </w:rPr>
        <w:t xml:space="preserve"> 人工智能自主学习平台的研究</w:t>
      </w:r>
    </w:p>
    <w:p w14:paraId="7B5014FB">
      <w:pPr>
        <w:pStyle w:val="2"/>
        <w:spacing w:line="360" w:lineRule="auto"/>
        <w:rPr>
          <w:rFonts w:hint="eastAsia" w:ascii="仿宋_GB2312" w:hAnsi="仿宋_GB2312" w:eastAsia="仿宋_GB2312" w:cs="仿宋_GB2312"/>
          <w:spacing w:val="1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pacing w:val="1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pacing w:val="1"/>
          <w:sz w:val="28"/>
          <w:szCs w:val="28"/>
          <w:lang w:eastAsia="zh-CN"/>
        </w:rPr>
        <w:t>-</w:t>
      </w:r>
      <w:r>
        <w:rPr>
          <w:rFonts w:hint="eastAsia" w:ascii="仿宋_GB2312" w:hAnsi="仿宋_GB2312" w:eastAsia="仿宋_GB2312" w:cs="仿宋_GB2312"/>
          <w:spacing w:val="1"/>
          <w:sz w:val="28"/>
          <w:szCs w:val="28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spacing w:val="1"/>
          <w:sz w:val="28"/>
          <w:szCs w:val="28"/>
          <w:lang w:eastAsia="zh-CN"/>
        </w:rPr>
        <w:t xml:space="preserve"> 基于校园大数据平台的高校治理与教育分析研究</w:t>
      </w:r>
    </w:p>
    <w:p w14:paraId="7646D386">
      <w:pPr>
        <w:pStyle w:val="2"/>
        <w:spacing w:line="360" w:lineRule="auto"/>
        <w:rPr>
          <w:rFonts w:hint="eastAsia" w:ascii="仿宋_GB2312" w:hAnsi="仿宋_GB2312" w:eastAsia="仿宋_GB2312" w:cs="仿宋_GB2312"/>
          <w:spacing w:val="1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pacing w:val="1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pacing w:val="1"/>
          <w:sz w:val="28"/>
          <w:szCs w:val="28"/>
          <w:lang w:eastAsia="zh-CN"/>
        </w:rPr>
        <w:t>-</w:t>
      </w:r>
      <w:r>
        <w:rPr>
          <w:rFonts w:hint="eastAsia" w:ascii="仿宋_GB2312" w:hAnsi="仿宋_GB2312" w:eastAsia="仿宋_GB2312" w:cs="仿宋_GB2312"/>
          <w:spacing w:val="1"/>
          <w:sz w:val="28"/>
          <w:szCs w:val="28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spacing w:val="1"/>
          <w:sz w:val="28"/>
          <w:szCs w:val="28"/>
          <w:lang w:eastAsia="zh-CN"/>
        </w:rPr>
        <w:t xml:space="preserve"> 基于</w:t>
      </w:r>
      <w:r>
        <w:rPr>
          <w:rFonts w:hint="eastAsia" w:ascii="仿宋_GB2312" w:hAnsi="仿宋_GB2312" w:eastAsia="仿宋_GB2312" w:cs="仿宋_GB2312"/>
          <w:spacing w:val="1"/>
          <w:sz w:val="28"/>
          <w:szCs w:val="28"/>
          <w:lang w:val="en-US" w:eastAsia="zh-CN"/>
        </w:rPr>
        <w:t>AI赋能</w:t>
      </w:r>
      <w:r>
        <w:rPr>
          <w:rFonts w:hint="eastAsia" w:ascii="仿宋_GB2312" w:hAnsi="仿宋_GB2312" w:eastAsia="仿宋_GB2312" w:cs="仿宋_GB2312"/>
          <w:spacing w:val="1"/>
          <w:sz w:val="28"/>
          <w:szCs w:val="28"/>
          <w:lang w:eastAsia="zh-CN"/>
        </w:rPr>
        <w:t>的高校</w:t>
      </w:r>
      <w:r>
        <w:rPr>
          <w:rFonts w:hint="eastAsia" w:ascii="仿宋_GB2312" w:hAnsi="仿宋_GB2312" w:eastAsia="仿宋_GB2312" w:cs="仿宋_GB2312"/>
          <w:spacing w:val="1"/>
          <w:sz w:val="28"/>
          <w:szCs w:val="28"/>
          <w:lang w:val="en-US" w:eastAsia="zh-CN"/>
        </w:rPr>
        <w:t>教育</w:t>
      </w:r>
      <w:r>
        <w:rPr>
          <w:rFonts w:hint="eastAsia" w:ascii="仿宋_GB2312" w:hAnsi="仿宋_GB2312" w:eastAsia="仿宋_GB2312" w:cs="仿宋_GB2312"/>
          <w:spacing w:val="1"/>
          <w:sz w:val="28"/>
          <w:szCs w:val="28"/>
          <w:lang w:eastAsia="zh-CN"/>
        </w:rPr>
        <w:t>教学质量保障体系研究</w:t>
      </w:r>
    </w:p>
    <w:p w14:paraId="1054C247">
      <w:pPr>
        <w:pStyle w:val="2"/>
        <w:spacing w:line="360" w:lineRule="auto"/>
        <w:rPr>
          <w:rFonts w:hint="eastAsia" w:ascii="仿宋_GB2312" w:hAnsi="仿宋_GB2312" w:eastAsia="仿宋_GB2312" w:cs="仿宋_GB2312"/>
          <w:spacing w:val="1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pacing w:val="1"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pacing w:val="1"/>
          <w:sz w:val="28"/>
          <w:szCs w:val="28"/>
          <w:lang w:eastAsia="zh-CN"/>
        </w:rPr>
        <w:t>-</w:t>
      </w:r>
      <w:r>
        <w:rPr>
          <w:rFonts w:hint="eastAsia" w:ascii="仿宋_GB2312" w:hAnsi="仿宋_GB2312" w:eastAsia="仿宋_GB2312" w:cs="仿宋_GB2312"/>
          <w:spacing w:val="1"/>
          <w:sz w:val="28"/>
          <w:szCs w:val="28"/>
          <w:lang w:val="en-US" w:eastAsia="zh-CN"/>
        </w:rPr>
        <w:t xml:space="preserve">19 </w:t>
      </w:r>
      <w:r>
        <w:rPr>
          <w:rFonts w:hint="eastAsia" w:ascii="仿宋_GB2312" w:hAnsi="仿宋_GB2312" w:eastAsia="仿宋_GB2312" w:cs="仿宋_GB2312"/>
          <w:spacing w:val="1"/>
          <w:sz w:val="28"/>
          <w:szCs w:val="28"/>
          <w:lang w:eastAsia="zh-CN"/>
        </w:rPr>
        <w:t>基于</w:t>
      </w:r>
      <w:r>
        <w:rPr>
          <w:rFonts w:hint="eastAsia" w:ascii="仿宋_GB2312" w:hAnsi="仿宋_GB2312" w:eastAsia="仿宋_GB2312" w:cs="仿宋_GB2312"/>
          <w:spacing w:val="1"/>
          <w:sz w:val="28"/>
          <w:szCs w:val="28"/>
          <w:lang w:val="en-US" w:eastAsia="zh-CN"/>
        </w:rPr>
        <w:t>人工智能</w:t>
      </w:r>
      <w:r>
        <w:rPr>
          <w:rFonts w:hint="eastAsia" w:ascii="仿宋_GB2312" w:hAnsi="仿宋_GB2312" w:eastAsia="仿宋_GB2312" w:cs="仿宋_GB2312"/>
          <w:spacing w:val="1"/>
          <w:sz w:val="28"/>
          <w:szCs w:val="28"/>
          <w:lang w:eastAsia="zh-CN"/>
        </w:rPr>
        <w:t>转型的高校教师教学素质提升对策研究</w:t>
      </w:r>
    </w:p>
    <w:p w14:paraId="79FF2479">
      <w:pPr>
        <w:pStyle w:val="2"/>
        <w:spacing w:line="360" w:lineRule="auto"/>
        <w:rPr>
          <w:rFonts w:hint="eastAsia" w:ascii="仿宋_GB2312" w:hAnsi="仿宋_GB2312" w:eastAsia="仿宋_GB2312" w:cs="仿宋_GB2312"/>
          <w:spacing w:val="1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"/>
          <w:sz w:val="28"/>
          <w:szCs w:val="28"/>
          <w:lang w:val="en-US" w:eastAsia="zh-CN"/>
        </w:rPr>
        <w:t>2-20 AI赋能的五育融合教育教学研究与实践</w:t>
      </w:r>
    </w:p>
    <w:p w14:paraId="5D1F3B11">
      <w:pPr>
        <w:pStyle w:val="2"/>
        <w:spacing w:line="360" w:lineRule="auto"/>
        <w:rPr>
          <w:rFonts w:hint="eastAsia" w:ascii="仿宋_GB2312" w:hAnsi="仿宋_GB2312" w:eastAsia="仿宋_GB2312" w:cs="仿宋_GB2312"/>
          <w:spacing w:val="1"/>
          <w:sz w:val="28"/>
          <w:szCs w:val="28"/>
          <w:lang w:val="en-US" w:eastAsia="zh-CN"/>
        </w:rPr>
      </w:pPr>
    </w:p>
    <w:p w14:paraId="75E711C4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/>
          <w:b/>
          <w:bCs/>
          <w:highlight w:val="none"/>
          <w:lang w:val="en-US" w:eastAsia="zh-CN"/>
        </w:rPr>
      </w:pPr>
      <w:r>
        <w:rPr>
          <w:rFonts w:hint="eastAsia"/>
          <w:b/>
          <w:bCs/>
          <w:highlight w:val="none"/>
          <w:lang w:val="en-US" w:eastAsia="zh-CN"/>
        </w:rPr>
        <w:t>3.</w:t>
      </w:r>
      <w:r>
        <w:rPr>
          <w:rFonts w:hint="default"/>
          <w:b/>
          <w:bCs/>
          <w:highlight w:val="none"/>
          <w:lang w:val="en-US" w:eastAsia="zh-CN"/>
        </w:rPr>
        <w:t>科教融汇</w:t>
      </w:r>
      <w:r>
        <w:rPr>
          <w:rFonts w:hint="eastAsia"/>
          <w:b/>
          <w:bCs/>
          <w:highlight w:val="none"/>
          <w:lang w:val="en-US" w:eastAsia="zh-CN"/>
        </w:rPr>
        <w:t>与</w:t>
      </w:r>
      <w:r>
        <w:rPr>
          <w:rFonts w:hint="default"/>
          <w:b/>
          <w:bCs/>
          <w:highlight w:val="none"/>
          <w:lang w:val="en-US" w:eastAsia="zh-CN"/>
        </w:rPr>
        <w:t>产教融合协同育人</w:t>
      </w:r>
      <w:r>
        <w:rPr>
          <w:rFonts w:hint="eastAsia"/>
          <w:b/>
          <w:bCs/>
          <w:highlight w:val="none"/>
          <w:lang w:val="en-US" w:eastAsia="zh-CN"/>
        </w:rPr>
        <w:t>专项</w:t>
      </w:r>
    </w:p>
    <w:p w14:paraId="26456095">
      <w:pPr>
        <w:pStyle w:val="2"/>
        <w:spacing w:line="360" w:lineRule="auto"/>
        <w:rPr>
          <w:rFonts w:hint="default" w:ascii="仿宋_GB2312" w:hAnsi="仿宋_GB2312" w:eastAsia="仿宋_GB2312" w:cs="仿宋_GB2312"/>
          <w:spacing w:val="1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"/>
          <w:sz w:val="28"/>
          <w:szCs w:val="28"/>
          <w:lang w:val="en-US" w:eastAsia="zh-CN"/>
        </w:rPr>
        <w:t xml:space="preserve">3-1  </w:t>
      </w:r>
      <w:r>
        <w:rPr>
          <w:rFonts w:hint="default" w:ascii="仿宋_GB2312" w:hAnsi="仿宋_GB2312" w:eastAsia="仿宋_GB2312" w:cs="仿宋_GB2312"/>
          <w:spacing w:val="1"/>
          <w:sz w:val="28"/>
          <w:szCs w:val="28"/>
          <w:lang w:val="en-US" w:eastAsia="zh-CN"/>
        </w:rPr>
        <w:t>“科教融汇、产教融合”协同育人的长效机制与动力机制创新研究</w:t>
      </w:r>
    </w:p>
    <w:p w14:paraId="48A45AB1">
      <w:pPr>
        <w:pStyle w:val="2"/>
        <w:spacing w:line="360" w:lineRule="auto"/>
        <w:rPr>
          <w:rFonts w:hint="eastAsia" w:ascii="仿宋_GB2312" w:hAnsi="仿宋_GB2312" w:eastAsia="仿宋_GB2312" w:cs="仿宋_GB2312"/>
          <w:spacing w:val="1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"/>
          <w:sz w:val="28"/>
          <w:szCs w:val="28"/>
          <w:lang w:val="en-US" w:eastAsia="zh-CN"/>
        </w:rPr>
        <w:t>3-2  产教研深度融合的人才培养体系构建</w:t>
      </w:r>
    </w:p>
    <w:p w14:paraId="41229B1A">
      <w:pPr>
        <w:pStyle w:val="2"/>
        <w:spacing w:line="360" w:lineRule="auto"/>
        <w:rPr>
          <w:rFonts w:hint="default" w:ascii="仿宋_GB2312" w:hAnsi="仿宋_GB2312" w:eastAsia="仿宋_GB2312" w:cs="仿宋_GB2312"/>
          <w:spacing w:val="1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"/>
          <w:sz w:val="28"/>
          <w:szCs w:val="28"/>
          <w:lang w:val="en-US" w:eastAsia="zh-CN"/>
        </w:rPr>
        <w:t xml:space="preserve">3-3  </w:t>
      </w:r>
      <w:r>
        <w:rPr>
          <w:rFonts w:hint="default" w:ascii="仿宋_GB2312" w:hAnsi="仿宋_GB2312" w:eastAsia="仿宋_GB2312" w:cs="仿宋_GB2312"/>
          <w:spacing w:val="1"/>
          <w:sz w:val="28"/>
          <w:szCs w:val="28"/>
          <w:lang w:val="en-US" w:eastAsia="zh-CN"/>
        </w:rPr>
        <w:t>卓越工程师产教融合培养模式深化</w:t>
      </w:r>
    </w:p>
    <w:p w14:paraId="396E5D15">
      <w:pPr>
        <w:pStyle w:val="2"/>
        <w:spacing w:line="360" w:lineRule="auto"/>
        <w:rPr>
          <w:rFonts w:hint="eastAsia" w:ascii="仿宋_GB2312" w:hAnsi="仿宋_GB2312" w:eastAsia="仿宋_GB2312" w:cs="仿宋_GB2312"/>
          <w:spacing w:val="1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"/>
          <w:sz w:val="28"/>
          <w:szCs w:val="28"/>
          <w:lang w:val="en-US" w:eastAsia="zh-CN"/>
        </w:rPr>
        <w:t>3-4  战略新兴方向（新一代信息技术、高端装备、新材料、新能源、网络空间安全、物联网和工业互联网等）深度融合</w:t>
      </w:r>
    </w:p>
    <w:p w14:paraId="0D72355D">
      <w:pPr>
        <w:pStyle w:val="2"/>
        <w:spacing w:line="360" w:lineRule="auto"/>
        <w:rPr>
          <w:rFonts w:hint="eastAsia" w:ascii="仿宋_GB2312" w:hAnsi="仿宋_GB2312" w:eastAsia="仿宋_GB2312" w:cs="仿宋_GB2312"/>
          <w:spacing w:val="1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"/>
          <w:sz w:val="28"/>
          <w:szCs w:val="28"/>
          <w:lang w:val="en-US" w:eastAsia="zh-CN"/>
        </w:rPr>
        <w:t>3-5  未来产业方向（人工智能、量子信息、无人系统、未来网络、新型储能等）深度融合</w:t>
      </w:r>
    </w:p>
    <w:p w14:paraId="23F3CC61">
      <w:pPr>
        <w:pStyle w:val="2"/>
        <w:spacing w:line="360" w:lineRule="auto"/>
        <w:rPr>
          <w:rFonts w:hint="eastAsia" w:ascii="仿宋_GB2312" w:hAnsi="仿宋_GB2312" w:eastAsia="仿宋_GB2312" w:cs="仿宋_GB2312"/>
          <w:spacing w:val="1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"/>
          <w:sz w:val="28"/>
          <w:szCs w:val="28"/>
          <w:lang w:val="en-US" w:eastAsia="zh-CN"/>
        </w:rPr>
        <w:t>3-6  科技攻关成果转化和应用验证方向（高性能制造技术、智能传感器、智能机器人、信息光子技术、微电子技术、先进计算与新兴软件、复合材料智能材料、工业软件、区块链等）深度融合</w:t>
      </w:r>
    </w:p>
    <w:p w14:paraId="21BC4C3F">
      <w:pPr>
        <w:pStyle w:val="2"/>
        <w:spacing w:line="360" w:lineRule="auto"/>
        <w:rPr>
          <w:rFonts w:hint="eastAsia" w:ascii="仿宋_GB2312" w:hAnsi="仿宋_GB2312" w:eastAsia="仿宋_GB2312" w:cs="仿宋_GB2312"/>
          <w:spacing w:val="1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"/>
          <w:sz w:val="28"/>
          <w:szCs w:val="28"/>
          <w:lang w:val="en-US" w:eastAsia="zh-CN"/>
        </w:rPr>
        <w:t>3-7  基础学科（本科）高质量人才培养方向</w:t>
      </w:r>
    </w:p>
    <w:p w14:paraId="4086ED07">
      <w:pPr>
        <w:pStyle w:val="2"/>
        <w:spacing w:line="360" w:lineRule="auto"/>
        <w:rPr>
          <w:rFonts w:hint="eastAsia" w:ascii="仿宋_GB2312" w:hAnsi="仿宋_GB2312" w:eastAsia="仿宋_GB2312" w:cs="仿宋_GB2312"/>
          <w:spacing w:val="1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"/>
          <w:sz w:val="28"/>
          <w:szCs w:val="28"/>
          <w:lang w:val="en-US" w:eastAsia="zh-CN"/>
        </w:rPr>
        <w:t>3-8  卓越工程师（本研贯通）培养方向</w:t>
      </w:r>
    </w:p>
    <w:p w14:paraId="57E785E7">
      <w:pPr>
        <w:pStyle w:val="2"/>
        <w:spacing w:line="360" w:lineRule="auto"/>
        <w:rPr>
          <w:rFonts w:hint="default" w:ascii="仿宋_GB2312" w:hAnsi="仿宋_GB2312" w:eastAsia="仿宋_GB2312" w:cs="仿宋_GB2312"/>
          <w:spacing w:val="1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"/>
          <w:sz w:val="28"/>
          <w:szCs w:val="28"/>
          <w:lang w:val="en-US" w:eastAsia="zh-CN"/>
        </w:rPr>
        <w:t>3-9  新专业（微专业+认证）建设方向</w:t>
      </w:r>
    </w:p>
    <w:p w14:paraId="0DD16220">
      <w:pPr>
        <w:pStyle w:val="2"/>
        <w:spacing w:line="360" w:lineRule="auto"/>
        <w:rPr>
          <w:rFonts w:hint="default" w:ascii="仿宋_GB2312" w:hAnsi="仿宋_GB2312" w:eastAsia="仿宋_GB2312" w:cs="仿宋_GB2312"/>
          <w:spacing w:val="1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"/>
          <w:sz w:val="28"/>
          <w:szCs w:val="28"/>
          <w:lang w:val="en-US" w:eastAsia="zh-CN"/>
        </w:rPr>
        <w:t>3-10 科学技术普及方向</w:t>
      </w:r>
    </w:p>
    <w:p w14:paraId="56FE3C87">
      <w:pPr>
        <w:pStyle w:val="2"/>
        <w:spacing w:line="360" w:lineRule="auto"/>
        <w:rPr>
          <w:rFonts w:hint="default" w:ascii="仿宋_GB2312" w:hAnsi="仿宋_GB2312" w:eastAsia="仿宋_GB2312" w:cs="仿宋_GB2312"/>
          <w:spacing w:val="1"/>
          <w:sz w:val="28"/>
          <w:szCs w:val="28"/>
          <w:lang w:val="en-US" w:eastAsia="zh-CN"/>
        </w:rPr>
      </w:pPr>
    </w:p>
    <w:p w14:paraId="24A881B2">
      <w:pPr>
        <w:pStyle w:val="2"/>
        <w:spacing w:line="360" w:lineRule="auto"/>
        <w:rPr>
          <w:rFonts w:hint="eastAsia" w:ascii="仿宋_GB2312" w:hAnsi="仿宋_GB2312" w:eastAsia="仿宋_GB2312" w:cs="仿宋_GB2312"/>
          <w:spacing w:val="1"/>
          <w:sz w:val="28"/>
          <w:szCs w:val="28"/>
          <w:lang w:val="en-US" w:eastAsia="zh-CN"/>
        </w:rPr>
      </w:pPr>
    </w:p>
    <w:p w14:paraId="3C231270">
      <w:pPr>
        <w:pStyle w:val="2"/>
        <w:spacing w:line="360" w:lineRule="auto"/>
        <w:rPr>
          <w:rFonts w:hint="eastAsia" w:ascii="仿宋_GB2312" w:hAnsi="仿宋_GB2312" w:eastAsia="仿宋_GB2312" w:cs="仿宋_GB2312"/>
          <w:spacing w:val="1"/>
          <w:sz w:val="28"/>
          <w:szCs w:val="28"/>
          <w:lang w:val="en-US" w:eastAsia="zh-CN"/>
        </w:rPr>
      </w:pPr>
    </w:p>
    <w:p w14:paraId="79E27DD3">
      <w:pPr>
        <w:pStyle w:val="2"/>
        <w:spacing w:line="360" w:lineRule="auto"/>
        <w:rPr>
          <w:rFonts w:hint="eastAsia" w:ascii="仿宋_GB2312" w:hAnsi="仿宋_GB2312" w:eastAsia="仿宋_GB2312" w:cs="仿宋_GB2312"/>
          <w:spacing w:val="1"/>
          <w:sz w:val="28"/>
          <w:szCs w:val="28"/>
          <w:lang w:val="en-US" w:eastAsia="zh-CN"/>
        </w:rPr>
      </w:pPr>
    </w:p>
    <w:p w14:paraId="766070A4">
      <w:pPr>
        <w:pStyle w:val="2"/>
        <w:spacing w:line="360" w:lineRule="auto"/>
        <w:rPr>
          <w:rFonts w:hint="eastAsia" w:ascii="仿宋_GB2312" w:hAnsi="仿宋_GB2312" w:eastAsia="仿宋_GB2312" w:cs="仿宋_GB2312"/>
          <w:spacing w:val="1"/>
          <w:sz w:val="28"/>
          <w:szCs w:val="28"/>
          <w:lang w:val="en-US" w:eastAsia="zh-CN"/>
        </w:rPr>
      </w:pPr>
    </w:p>
    <w:p w14:paraId="339FD9F3">
      <w:pPr>
        <w:pStyle w:val="2"/>
        <w:spacing w:line="360" w:lineRule="auto"/>
        <w:rPr>
          <w:rFonts w:hint="default" w:ascii="仿宋_GB2312" w:hAnsi="仿宋_GB2312" w:eastAsia="仿宋_GB2312" w:cs="仿宋_GB2312"/>
          <w:spacing w:val="1"/>
          <w:sz w:val="28"/>
          <w:szCs w:val="28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94094A">
    <w:pPr>
      <w:spacing w:line="176" w:lineRule="auto"/>
      <w:ind w:left="4160"/>
      <w:rPr>
        <w:rFonts w:ascii="宋体" w:hAnsi="宋体" w:eastAsia="宋体" w:cs="宋体"/>
        <w:sz w:val="26"/>
        <w:szCs w:val="26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ZjNDM4MGFhZGVkMzc2M2YzN2U4YzU0MzEwZjdhMmMifQ=="/>
  </w:docVars>
  <w:rsids>
    <w:rsidRoot w:val="000E43D9"/>
    <w:rsid w:val="000E43D9"/>
    <w:rsid w:val="00A13514"/>
    <w:rsid w:val="00F15639"/>
    <w:rsid w:val="010D5FC6"/>
    <w:rsid w:val="01EC0334"/>
    <w:rsid w:val="02C61509"/>
    <w:rsid w:val="03FD0897"/>
    <w:rsid w:val="04BD5452"/>
    <w:rsid w:val="04EF4D28"/>
    <w:rsid w:val="05595CE0"/>
    <w:rsid w:val="059211F2"/>
    <w:rsid w:val="05AE605F"/>
    <w:rsid w:val="061B2F96"/>
    <w:rsid w:val="08A47037"/>
    <w:rsid w:val="09BE460B"/>
    <w:rsid w:val="09E30A10"/>
    <w:rsid w:val="0AF40B01"/>
    <w:rsid w:val="0B310B66"/>
    <w:rsid w:val="0B7B1FE3"/>
    <w:rsid w:val="0C772943"/>
    <w:rsid w:val="0CCD3F0E"/>
    <w:rsid w:val="0D134683"/>
    <w:rsid w:val="0E0A54B0"/>
    <w:rsid w:val="0E227E00"/>
    <w:rsid w:val="0F29159C"/>
    <w:rsid w:val="0F8F1193"/>
    <w:rsid w:val="100D7863"/>
    <w:rsid w:val="10AF7809"/>
    <w:rsid w:val="12AA5F2D"/>
    <w:rsid w:val="145234A4"/>
    <w:rsid w:val="14D41D3A"/>
    <w:rsid w:val="17F71E38"/>
    <w:rsid w:val="18774E71"/>
    <w:rsid w:val="18790C37"/>
    <w:rsid w:val="192A2B8B"/>
    <w:rsid w:val="1988776F"/>
    <w:rsid w:val="19D61256"/>
    <w:rsid w:val="1A5326BB"/>
    <w:rsid w:val="1B9238A2"/>
    <w:rsid w:val="1BC2741A"/>
    <w:rsid w:val="1BF60B6E"/>
    <w:rsid w:val="1C580648"/>
    <w:rsid w:val="1C7E2177"/>
    <w:rsid w:val="1CF83C14"/>
    <w:rsid w:val="1D8437F8"/>
    <w:rsid w:val="1D932E7E"/>
    <w:rsid w:val="1EF86BDC"/>
    <w:rsid w:val="1F053CF4"/>
    <w:rsid w:val="1F64290E"/>
    <w:rsid w:val="1F9E2816"/>
    <w:rsid w:val="20014FB8"/>
    <w:rsid w:val="203F3CAB"/>
    <w:rsid w:val="218C4997"/>
    <w:rsid w:val="228C4B0F"/>
    <w:rsid w:val="22EB7DD7"/>
    <w:rsid w:val="23E47FEF"/>
    <w:rsid w:val="24704055"/>
    <w:rsid w:val="26E66850"/>
    <w:rsid w:val="29B816FE"/>
    <w:rsid w:val="2A1B3E98"/>
    <w:rsid w:val="2A2C7DFE"/>
    <w:rsid w:val="2B471FB3"/>
    <w:rsid w:val="2B7938DE"/>
    <w:rsid w:val="2C0F50D6"/>
    <w:rsid w:val="2C8627FD"/>
    <w:rsid w:val="2CEC3ECE"/>
    <w:rsid w:val="2D7D2FB4"/>
    <w:rsid w:val="2F7E1D1C"/>
    <w:rsid w:val="2F9F78B1"/>
    <w:rsid w:val="30134B5A"/>
    <w:rsid w:val="30436D3A"/>
    <w:rsid w:val="305E0BE8"/>
    <w:rsid w:val="30EE1123"/>
    <w:rsid w:val="312A4E39"/>
    <w:rsid w:val="31851861"/>
    <w:rsid w:val="319B3E73"/>
    <w:rsid w:val="32A4413D"/>
    <w:rsid w:val="3392652C"/>
    <w:rsid w:val="33D72119"/>
    <w:rsid w:val="33EC63B7"/>
    <w:rsid w:val="36EE4AB0"/>
    <w:rsid w:val="38162262"/>
    <w:rsid w:val="38C44830"/>
    <w:rsid w:val="3A5B5E6C"/>
    <w:rsid w:val="3C75753F"/>
    <w:rsid w:val="3D423410"/>
    <w:rsid w:val="3EA87EB5"/>
    <w:rsid w:val="3F2008FE"/>
    <w:rsid w:val="3F8D7751"/>
    <w:rsid w:val="3FD91DCF"/>
    <w:rsid w:val="40D83EF0"/>
    <w:rsid w:val="415A31C5"/>
    <w:rsid w:val="41896292"/>
    <w:rsid w:val="42373287"/>
    <w:rsid w:val="43681A7E"/>
    <w:rsid w:val="43FD36FF"/>
    <w:rsid w:val="45EB6847"/>
    <w:rsid w:val="46E841F3"/>
    <w:rsid w:val="47B75973"/>
    <w:rsid w:val="48D6398B"/>
    <w:rsid w:val="48F21359"/>
    <w:rsid w:val="4AAE048C"/>
    <w:rsid w:val="4AC065A4"/>
    <w:rsid w:val="4CB14F60"/>
    <w:rsid w:val="4CD35742"/>
    <w:rsid w:val="4DAF7402"/>
    <w:rsid w:val="4E7848CC"/>
    <w:rsid w:val="4FE13E9E"/>
    <w:rsid w:val="50920D8E"/>
    <w:rsid w:val="50DC1B38"/>
    <w:rsid w:val="53BC636D"/>
    <w:rsid w:val="53E45333"/>
    <w:rsid w:val="540E28F4"/>
    <w:rsid w:val="541859EC"/>
    <w:rsid w:val="542D76E9"/>
    <w:rsid w:val="548E3F00"/>
    <w:rsid w:val="549A0AF6"/>
    <w:rsid w:val="55781EC6"/>
    <w:rsid w:val="570B22DC"/>
    <w:rsid w:val="571F557C"/>
    <w:rsid w:val="5B3204AE"/>
    <w:rsid w:val="5B501C5C"/>
    <w:rsid w:val="5C8005D2"/>
    <w:rsid w:val="5DCC6C0C"/>
    <w:rsid w:val="5F883DB9"/>
    <w:rsid w:val="624B51DE"/>
    <w:rsid w:val="64EA2251"/>
    <w:rsid w:val="65164D65"/>
    <w:rsid w:val="65C94D98"/>
    <w:rsid w:val="661B6392"/>
    <w:rsid w:val="665509A8"/>
    <w:rsid w:val="67BB5253"/>
    <w:rsid w:val="67E91EF7"/>
    <w:rsid w:val="68CB5C7C"/>
    <w:rsid w:val="6923630A"/>
    <w:rsid w:val="69CE2026"/>
    <w:rsid w:val="69F021DB"/>
    <w:rsid w:val="6B3B6497"/>
    <w:rsid w:val="6BF34D29"/>
    <w:rsid w:val="6C5B2654"/>
    <w:rsid w:val="6CA94952"/>
    <w:rsid w:val="6CCF6D90"/>
    <w:rsid w:val="6D1A237D"/>
    <w:rsid w:val="6D673A8B"/>
    <w:rsid w:val="6E112C1F"/>
    <w:rsid w:val="6E2B2A93"/>
    <w:rsid w:val="70E37655"/>
    <w:rsid w:val="7121017E"/>
    <w:rsid w:val="718A0C20"/>
    <w:rsid w:val="73FC0A2E"/>
    <w:rsid w:val="74553583"/>
    <w:rsid w:val="758E216C"/>
    <w:rsid w:val="784E426F"/>
    <w:rsid w:val="797058BC"/>
    <w:rsid w:val="7BB82F6B"/>
    <w:rsid w:val="7BD00314"/>
    <w:rsid w:val="7C0641F8"/>
    <w:rsid w:val="7C390238"/>
    <w:rsid w:val="7E612918"/>
    <w:rsid w:val="7E9A1D12"/>
    <w:rsid w:val="7F402553"/>
    <w:rsid w:val="7F577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4"/>
      <w:szCs w:val="34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  <w:style w:type="character" w:styleId="7">
    <w:name w:val="Strong"/>
    <w:basedOn w:val="6"/>
    <w:qFormat/>
    <w:uiPriority w:val="0"/>
    <w:rPr>
      <w:b/>
    </w:rPr>
  </w:style>
  <w:style w:type="character" w:customStyle="1" w:styleId="8">
    <w:name w:val="页脚 字符"/>
    <w:basedOn w:val="6"/>
    <w:link w:val="3"/>
    <w:qFormat/>
    <w:uiPriority w:val="0"/>
    <w:rPr>
      <w:rFonts w:ascii="Arial" w:hAnsi="Arial" w:eastAsia="Arial" w:cs="Arial"/>
      <w:snapToGrid w:val="0"/>
      <w:color w:val="00000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924</Words>
  <Characters>1022</Characters>
  <Lines>12</Lines>
  <Paragraphs>3</Paragraphs>
  <TotalTime>9</TotalTime>
  <ScaleCrop>false</ScaleCrop>
  <LinksUpToDate>false</LinksUpToDate>
  <CharactersWithSpaces>1086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2024-06-25T07:47:00Z</dcterms:created>
  <dc:creator>fengyuan</dc:creator>
  <cp:lastModifiedBy>媛圈</cp:lastModifiedBy>
  <dcterms:modified xsi:type="dcterms:W3CDTF">2026-05-26T02:30:56Z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210830922B414D8A9D48621BDF93827F</vt:lpwstr>
  </property>
  <property fmtid="{D5CDD505-2E9C-101B-9397-08002B2CF9AE}" pid="4" name="KSOTemplateDocerSaveRecord">
    <vt:lpwstr>eyJoZGlkIjoiZDA2MDQ2ZmNmMTA3YzQ5NjgzOTViMTkyMjc4MTNmM2IiLCJ1c2VySWQiOiIxMDcxNzQ2MTI2In0=</vt:lpwstr>
  </property>
</Properties>
</file>